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BF84" w14:textId="77777777" w:rsidR="00DF55BC" w:rsidRDefault="009C4AFB">
      <w:r>
        <w:rPr>
          <w:noProof/>
          <w:sz w:val="20"/>
          <w:szCs w:val="20"/>
        </w:rPr>
        <w:drawing>
          <wp:anchor distT="0" distB="0" distL="114300" distR="114300" simplePos="0" relativeHeight="251658240" behindDoc="0" locked="0" layoutInCell="1" hidden="0" allowOverlap="1" wp14:anchorId="40902880" wp14:editId="756E8C11">
            <wp:simplePos x="0" y="0"/>
            <wp:positionH relativeFrom="margin">
              <wp:posOffset>3105150</wp:posOffset>
            </wp:positionH>
            <wp:positionV relativeFrom="page">
              <wp:posOffset>581025</wp:posOffset>
            </wp:positionV>
            <wp:extent cx="2419350" cy="647700"/>
            <wp:effectExtent l="0" t="0" r="0" b="0"/>
            <wp:wrapSquare wrapText="bothSides" distT="0" distB="0" distL="114300" distR="114300"/>
            <wp:docPr id="1" name="image1.png" descr="skside_sh_wmf"/>
            <wp:cNvGraphicFramePr/>
            <a:graphic xmlns:a="http://schemas.openxmlformats.org/drawingml/2006/main">
              <a:graphicData uri="http://schemas.openxmlformats.org/drawingml/2006/picture">
                <pic:pic xmlns:pic="http://schemas.openxmlformats.org/drawingml/2006/picture">
                  <pic:nvPicPr>
                    <pic:cNvPr id="0" name="image1.png" descr="skside_sh_wmf"/>
                    <pic:cNvPicPr preferRelativeResize="0"/>
                  </pic:nvPicPr>
                  <pic:blipFill>
                    <a:blip r:embed="rId6"/>
                    <a:srcRect/>
                    <a:stretch>
                      <a:fillRect/>
                    </a:stretch>
                  </pic:blipFill>
                  <pic:spPr>
                    <a:xfrm>
                      <a:off x="0" y="0"/>
                      <a:ext cx="2419350" cy="647700"/>
                    </a:xfrm>
                    <a:prstGeom prst="rect">
                      <a:avLst/>
                    </a:prstGeom>
                    <a:ln/>
                  </pic:spPr>
                </pic:pic>
              </a:graphicData>
            </a:graphic>
          </wp:anchor>
        </w:drawing>
      </w:r>
    </w:p>
    <w:tbl>
      <w:tblPr>
        <w:tblStyle w:val="a"/>
        <w:tblW w:w="10149" w:type="dxa"/>
        <w:tblInd w:w="0" w:type="dxa"/>
        <w:tblLayout w:type="fixed"/>
        <w:tblLook w:val="0000" w:firstRow="0" w:lastRow="0" w:firstColumn="0" w:lastColumn="0" w:noHBand="0" w:noVBand="0"/>
      </w:tblPr>
      <w:tblGrid>
        <w:gridCol w:w="5865"/>
        <w:gridCol w:w="4284"/>
      </w:tblGrid>
      <w:tr w:rsidR="00DF55BC" w:rsidRPr="001F08B8" w14:paraId="0792F02B" w14:textId="77777777">
        <w:tc>
          <w:tcPr>
            <w:tcW w:w="5865" w:type="dxa"/>
          </w:tcPr>
          <w:p w14:paraId="75441220" w14:textId="3270F948" w:rsidR="00DF55BC" w:rsidRDefault="009C4AFB">
            <w:pPr>
              <w:pStyle w:val="Overskrift1"/>
              <w:rPr>
                <w:b/>
                <w:sz w:val="72"/>
                <w:szCs w:val="72"/>
              </w:rPr>
            </w:pPr>
            <w:r>
              <w:rPr>
                <w:b/>
                <w:sz w:val="72"/>
                <w:szCs w:val="72"/>
              </w:rPr>
              <w:t>Møte</w:t>
            </w:r>
            <w:r w:rsidR="00DE34E3">
              <w:rPr>
                <w:b/>
                <w:sz w:val="72"/>
                <w:szCs w:val="72"/>
              </w:rPr>
              <w:t>referat</w:t>
            </w:r>
          </w:p>
          <w:p w14:paraId="4F785A66" w14:textId="77777777" w:rsidR="00DF55BC" w:rsidRDefault="00DF55BC">
            <w:pPr>
              <w:rPr>
                <w:b/>
              </w:rPr>
            </w:pPr>
          </w:p>
        </w:tc>
        <w:tc>
          <w:tcPr>
            <w:tcW w:w="4284" w:type="dxa"/>
          </w:tcPr>
          <w:p w14:paraId="5730CFCC" w14:textId="77777777" w:rsidR="00DF55BC" w:rsidRDefault="009C4AFB">
            <w:pPr>
              <w:pBdr>
                <w:top w:val="nil"/>
                <w:left w:val="nil"/>
                <w:bottom w:val="nil"/>
                <w:right w:val="nil"/>
                <w:between w:val="nil"/>
              </w:pBdr>
              <w:spacing w:line="220" w:lineRule="auto"/>
              <w:rPr>
                <w:b/>
                <w:color w:val="000000"/>
                <w:sz w:val="18"/>
                <w:szCs w:val="18"/>
              </w:rPr>
            </w:pPr>
            <w:r>
              <w:rPr>
                <w:b/>
                <w:color w:val="000000"/>
                <w:sz w:val="18"/>
                <w:szCs w:val="18"/>
              </w:rPr>
              <w:t>Oppvekst og levekår</w:t>
            </w:r>
          </w:p>
          <w:p w14:paraId="06A0AFA9" w14:textId="77777777" w:rsidR="00DF55BC" w:rsidRDefault="009C4AFB">
            <w:pPr>
              <w:pBdr>
                <w:top w:val="nil"/>
                <w:left w:val="nil"/>
                <w:bottom w:val="nil"/>
                <w:right w:val="nil"/>
                <w:between w:val="nil"/>
              </w:pBdr>
              <w:spacing w:line="220" w:lineRule="auto"/>
              <w:rPr>
                <w:b/>
                <w:color w:val="000000"/>
                <w:sz w:val="17"/>
                <w:szCs w:val="17"/>
              </w:rPr>
            </w:pPr>
            <w:r>
              <w:rPr>
                <w:b/>
                <w:color w:val="000000"/>
                <w:sz w:val="17"/>
                <w:szCs w:val="17"/>
              </w:rPr>
              <w:t>Buøy skole</w:t>
            </w:r>
          </w:p>
          <w:p w14:paraId="5D7FA51C" w14:textId="77777777" w:rsidR="00DF55BC" w:rsidRDefault="00DF55BC">
            <w:pPr>
              <w:pBdr>
                <w:top w:val="nil"/>
                <w:left w:val="nil"/>
                <w:bottom w:val="nil"/>
                <w:right w:val="nil"/>
                <w:between w:val="nil"/>
              </w:pBdr>
              <w:spacing w:line="220" w:lineRule="auto"/>
              <w:rPr>
                <w:b/>
                <w:color w:val="000000"/>
                <w:sz w:val="17"/>
                <w:szCs w:val="17"/>
              </w:rPr>
            </w:pPr>
          </w:p>
          <w:p w14:paraId="04EDFE4A" w14:textId="77777777" w:rsidR="00DF55BC" w:rsidRDefault="009C4AFB">
            <w:pPr>
              <w:pBdr>
                <w:top w:val="nil"/>
                <w:left w:val="nil"/>
                <w:bottom w:val="nil"/>
                <w:right w:val="nil"/>
                <w:between w:val="nil"/>
              </w:pBdr>
              <w:spacing w:line="220" w:lineRule="auto"/>
              <w:rPr>
                <w:b/>
                <w:color w:val="000000"/>
                <w:sz w:val="17"/>
                <w:szCs w:val="17"/>
              </w:rPr>
            </w:pPr>
            <w:r>
              <w:rPr>
                <w:b/>
                <w:color w:val="000000"/>
                <w:sz w:val="17"/>
                <w:szCs w:val="17"/>
              </w:rPr>
              <w:t>Postadr.: Skipsbyggergata 19, 4085 Hundvåg</w:t>
            </w:r>
          </w:p>
          <w:p w14:paraId="39410B90" w14:textId="77777777" w:rsidR="00DF55BC" w:rsidRDefault="009C4AFB">
            <w:pPr>
              <w:pBdr>
                <w:top w:val="nil"/>
                <w:left w:val="nil"/>
                <w:bottom w:val="nil"/>
                <w:right w:val="nil"/>
                <w:between w:val="nil"/>
              </w:pBdr>
              <w:spacing w:line="220" w:lineRule="auto"/>
              <w:rPr>
                <w:b/>
                <w:color w:val="000000"/>
                <w:sz w:val="17"/>
                <w:szCs w:val="17"/>
              </w:rPr>
            </w:pPr>
            <w:r>
              <w:rPr>
                <w:b/>
                <w:color w:val="000000"/>
                <w:sz w:val="17"/>
                <w:szCs w:val="17"/>
              </w:rPr>
              <w:t>Besøksadr.: Skipsbyggergata 19a</w:t>
            </w:r>
          </w:p>
          <w:p w14:paraId="0F657360" w14:textId="77777777" w:rsidR="00DF55BC" w:rsidRDefault="009C4AFB">
            <w:pPr>
              <w:pBdr>
                <w:top w:val="nil"/>
                <w:left w:val="nil"/>
                <w:bottom w:val="nil"/>
                <w:right w:val="nil"/>
                <w:between w:val="nil"/>
              </w:pBdr>
              <w:spacing w:line="220" w:lineRule="auto"/>
              <w:rPr>
                <w:b/>
                <w:color w:val="000000"/>
                <w:sz w:val="17"/>
                <w:szCs w:val="17"/>
              </w:rPr>
            </w:pPr>
            <w:r>
              <w:rPr>
                <w:b/>
                <w:color w:val="000000"/>
                <w:sz w:val="17"/>
                <w:szCs w:val="17"/>
              </w:rPr>
              <w:t>Telefon: 51913770 Faks: 51913780</w:t>
            </w:r>
          </w:p>
          <w:p w14:paraId="4207D81B" w14:textId="77777777" w:rsidR="00DF55BC" w:rsidRPr="00711A80" w:rsidRDefault="009C4AFB">
            <w:pPr>
              <w:pBdr>
                <w:top w:val="nil"/>
                <w:left w:val="nil"/>
                <w:bottom w:val="nil"/>
                <w:right w:val="nil"/>
                <w:between w:val="nil"/>
              </w:pBdr>
              <w:spacing w:line="220" w:lineRule="auto"/>
              <w:rPr>
                <w:b/>
                <w:color w:val="000000"/>
                <w:sz w:val="17"/>
                <w:szCs w:val="17"/>
                <w:lang w:val="en-US"/>
              </w:rPr>
            </w:pPr>
            <w:r w:rsidRPr="00711A80">
              <w:rPr>
                <w:b/>
                <w:color w:val="000000"/>
                <w:sz w:val="17"/>
                <w:szCs w:val="17"/>
                <w:lang w:val="en-US"/>
              </w:rPr>
              <w:t xml:space="preserve">E-post: </w:t>
            </w:r>
            <w:hyperlink r:id="rId7">
              <w:r w:rsidR="00DF55BC" w:rsidRPr="00711A80">
                <w:rPr>
                  <w:b/>
                  <w:color w:val="0000FF"/>
                  <w:sz w:val="17"/>
                  <w:szCs w:val="17"/>
                  <w:u w:val="single"/>
                  <w:lang w:val="en-US"/>
                </w:rPr>
                <w:t>buoy.skole@stavanger.kommune.no</w:t>
              </w:r>
            </w:hyperlink>
            <w:r w:rsidRPr="00711A80">
              <w:rPr>
                <w:b/>
                <w:color w:val="000000"/>
                <w:sz w:val="17"/>
                <w:szCs w:val="17"/>
                <w:lang w:val="en-US"/>
              </w:rPr>
              <w:t xml:space="preserve"> </w:t>
            </w:r>
          </w:p>
          <w:p w14:paraId="41FA606C" w14:textId="77777777" w:rsidR="00DF55BC" w:rsidRPr="00711A80" w:rsidRDefault="00DF55BC">
            <w:pPr>
              <w:pBdr>
                <w:top w:val="nil"/>
                <w:left w:val="nil"/>
                <w:bottom w:val="nil"/>
                <w:right w:val="nil"/>
                <w:between w:val="nil"/>
              </w:pBdr>
              <w:spacing w:line="220" w:lineRule="auto"/>
              <w:rPr>
                <w:b/>
                <w:color w:val="000000"/>
                <w:sz w:val="17"/>
                <w:szCs w:val="17"/>
                <w:lang w:val="en-US"/>
              </w:rPr>
            </w:pPr>
            <w:hyperlink r:id="rId8">
              <w:r w:rsidRPr="00711A80">
                <w:rPr>
                  <w:b/>
                  <w:color w:val="0000FF"/>
                  <w:sz w:val="17"/>
                  <w:szCs w:val="17"/>
                  <w:u w:val="single"/>
                  <w:lang w:val="en-US"/>
                </w:rPr>
                <w:t>www.stavanger.kommune.no</w:t>
              </w:r>
            </w:hyperlink>
          </w:p>
          <w:p w14:paraId="3D51D631" w14:textId="77777777" w:rsidR="00DF55BC" w:rsidRPr="00711A80" w:rsidRDefault="009C4AFB">
            <w:pPr>
              <w:pBdr>
                <w:top w:val="nil"/>
                <w:left w:val="nil"/>
                <w:bottom w:val="nil"/>
                <w:right w:val="nil"/>
                <w:between w:val="nil"/>
              </w:pBdr>
              <w:spacing w:line="220" w:lineRule="auto"/>
              <w:rPr>
                <w:b/>
                <w:color w:val="000000"/>
                <w:sz w:val="17"/>
                <w:szCs w:val="17"/>
                <w:lang w:val="en-US"/>
              </w:rPr>
            </w:pPr>
            <w:r w:rsidRPr="00711A80">
              <w:rPr>
                <w:b/>
                <w:color w:val="000000"/>
                <w:sz w:val="17"/>
                <w:szCs w:val="17"/>
                <w:lang w:val="en-US"/>
              </w:rPr>
              <w:t>Org.nr.: NO 964 965 226</w:t>
            </w:r>
          </w:p>
        </w:tc>
      </w:tr>
    </w:tbl>
    <w:p w14:paraId="2B145759" w14:textId="77777777" w:rsidR="00DF55BC" w:rsidRPr="00711A80" w:rsidRDefault="00DF55BC">
      <w:pPr>
        <w:rPr>
          <w:lang w:val="en-US"/>
        </w:rPr>
      </w:pPr>
    </w:p>
    <w:tbl>
      <w:tblPr>
        <w:tblStyle w:val="a0"/>
        <w:tblW w:w="9113" w:type="dxa"/>
        <w:tblInd w:w="0" w:type="dxa"/>
        <w:tblLayout w:type="fixed"/>
        <w:tblLook w:val="0000" w:firstRow="0" w:lastRow="0" w:firstColumn="0" w:lastColumn="0" w:noHBand="0" w:noVBand="0"/>
      </w:tblPr>
      <w:tblGrid>
        <w:gridCol w:w="1426"/>
        <w:gridCol w:w="7687"/>
      </w:tblGrid>
      <w:tr w:rsidR="00DF55BC" w14:paraId="429AD32C" w14:textId="77777777">
        <w:tc>
          <w:tcPr>
            <w:tcW w:w="1426" w:type="dxa"/>
          </w:tcPr>
          <w:p w14:paraId="4667ADE0" w14:textId="77777777" w:rsidR="00DF55BC" w:rsidRDefault="009C4AFB">
            <w:r>
              <w:t>Gruppe:</w:t>
            </w:r>
          </w:p>
        </w:tc>
        <w:tc>
          <w:tcPr>
            <w:tcW w:w="7687" w:type="dxa"/>
          </w:tcPr>
          <w:p w14:paraId="12863B3A" w14:textId="77777777" w:rsidR="00DF55BC" w:rsidRDefault="009C4AFB">
            <w:pPr>
              <w:rPr>
                <w:sz w:val="22"/>
                <w:szCs w:val="22"/>
              </w:rPr>
            </w:pPr>
            <w:r>
              <w:rPr>
                <w:sz w:val="22"/>
                <w:szCs w:val="22"/>
              </w:rPr>
              <w:t>Samarbeidsutvalg – Buøy skole</w:t>
            </w:r>
          </w:p>
        </w:tc>
      </w:tr>
      <w:tr w:rsidR="00DF55BC" w14:paraId="745F2C51" w14:textId="77777777">
        <w:tc>
          <w:tcPr>
            <w:tcW w:w="1426" w:type="dxa"/>
          </w:tcPr>
          <w:p w14:paraId="48A4142D" w14:textId="77777777" w:rsidR="00DF55BC" w:rsidRDefault="009C4AFB">
            <w:r>
              <w:t>Møtested:</w:t>
            </w:r>
          </w:p>
        </w:tc>
        <w:tc>
          <w:tcPr>
            <w:tcW w:w="7687" w:type="dxa"/>
          </w:tcPr>
          <w:p w14:paraId="59A6F057" w14:textId="77777777" w:rsidR="00DF55BC" w:rsidRDefault="009C4AFB">
            <w:r>
              <w:t>Buøy skole</w:t>
            </w:r>
          </w:p>
        </w:tc>
      </w:tr>
      <w:tr w:rsidR="00DF55BC" w14:paraId="092D6FE4" w14:textId="77777777">
        <w:tc>
          <w:tcPr>
            <w:tcW w:w="1426" w:type="dxa"/>
          </w:tcPr>
          <w:p w14:paraId="02342327" w14:textId="77777777" w:rsidR="00DF55BC" w:rsidRDefault="009C4AFB">
            <w:r>
              <w:t>Møtedato/ -tid:</w:t>
            </w:r>
          </w:p>
        </w:tc>
        <w:tc>
          <w:tcPr>
            <w:tcW w:w="7687" w:type="dxa"/>
          </w:tcPr>
          <w:p w14:paraId="25354F3C" w14:textId="6E55DB0A" w:rsidR="00DF55BC" w:rsidRDefault="009C4AFB">
            <w:pPr>
              <w:rPr>
                <w:sz w:val="22"/>
                <w:szCs w:val="22"/>
              </w:rPr>
            </w:pPr>
            <w:r>
              <w:rPr>
                <w:sz w:val="22"/>
                <w:szCs w:val="22"/>
              </w:rPr>
              <w:t xml:space="preserve">Tirsdag </w:t>
            </w:r>
            <w:r w:rsidR="003C6106">
              <w:rPr>
                <w:sz w:val="22"/>
                <w:szCs w:val="22"/>
              </w:rPr>
              <w:t>18</w:t>
            </w:r>
            <w:r>
              <w:rPr>
                <w:sz w:val="22"/>
                <w:szCs w:val="22"/>
              </w:rPr>
              <w:t>.</w:t>
            </w:r>
            <w:r w:rsidR="003C6106">
              <w:rPr>
                <w:sz w:val="22"/>
                <w:szCs w:val="22"/>
              </w:rPr>
              <w:t>03</w:t>
            </w:r>
            <w:r>
              <w:rPr>
                <w:sz w:val="22"/>
                <w:szCs w:val="22"/>
              </w:rPr>
              <w:t>.2</w:t>
            </w:r>
            <w:r w:rsidR="003C6106">
              <w:rPr>
                <w:sz w:val="22"/>
                <w:szCs w:val="22"/>
              </w:rPr>
              <w:t>5</w:t>
            </w:r>
            <w:r>
              <w:rPr>
                <w:sz w:val="22"/>
                <w:szCs w:val="22"/>
              </w:rPr>
              <w:t>, klokka 18.00-19.30</w:t>
            </w:r>
          </w:p>
        </w:tc>
      </w:tr>
      <w:tr w:rsidR="00DF55BC" w14:paraId="1561EA4B" w14:textId="77777777">
        <w:tc>
          <w:tcPr>
            <w:tcW w:w="1426" w:type="dxa"/>
          </w:tcPr>
          <w:p w14:paraId="2F2A460F" w14:textId="27BBAAA2" w:rsidR="00DF55BC" w:rsidRDefault="00423A49">
            <w:r>
              <w:t xml:space="preserve">Deltakere:          </w:t>
            </w:r>
          </w:p>
        </w:tc>
        <w:tc>
          <w:tcPr>
            <w:tcW w:w="7687" w:type="dxa"/>
          </w:tcPr>
          <w:p w14:paraId="03CE8B30" w14:textId="32B9C28B" w:rsidR="00DF55BC" w:rsidRDefault="009C4AFB">
            <w:pPr>
              <w:rPr>
                <w:sz w:val="22"/>
                <w:szCs w:val="22"/>
              </w:rPr>
            </w:pPr>
            <w:r>
              <w:rPr>
                <w:sz w:val="22"/>
                <w:szCs w:val="22"/>
              </w:rPr>
              <w:t xml:space="preserve">Trine Gulsrud (FAU leder), Anne Lene Knutsen Time (FAU representant), Margrete Skjervheim Kvandal (representant lærere), Nina Elise Grødem (rektor), Monica Bakke (SFO-representant), </w:t>
            </w:r>
            <w:r w:rsidR="004A1C1C">
              <w:rPr>
                <w:sz w:val="22"/>
                <w:szCs w:val="22"/>
              </w:rPr>
              <w:t>Imre Bårdsen-Grønås (elevrepresentant)</w:t>
            </w:r>
          </w:p>
          <w:p w14:paraId="25BE6CD5" w14:textId="77777777" w:rsidR="00DF55BC" w:rsidRDefault="00DF55BC">
            <w:pPr>
              <w:rPr>
                <w:sz w:val="22"/>
                <w:szCs w:val="22"/>
              </w:rPr>
            </w:pPr>
          </w:p>
        </w:tc>
      </w:tr>
      <w:tr w:rsidR="00DF55BC" w14:paraId="01FB23A7" w14:textId="77777777">
        <w:tc>
          <w:tcPr>
            <w:tcW w:w="1426" w:type="dxa"/>
            <w:tcBorders>
              <w:bottom w:val="single" w:sz="4" w:space="0" w:color="000000"/>
            </w:tcBorders>
            <w:tcMar>
              <w:bottom w:w="113" w:type="dxa"/>
            </w:tcMar>
          </w:tcPr>
          <w:p w14:paraId="6865FA96" w14:textId="77777777" w:rsidR="00DF55BC" w:rsidRDefault="009C4AFB">
            <w:r>
              <w:t>Referent:</w:t>
            </w:r>
          </w:p>
        </w:tc>
        <w:tc>
          <w:tcPr>
            <w:tcW w:w="7687" w:type="dxa"/>
            <w:tcBorders>
              <w:bottom w:val="single" w:sz="4" w:space="0" w:color="000000"/>
            </w:tcBorders>
            <w:tcMar>
              <w:bottom w:w="113" w:type="dxa"/>
            </w:tcMar>
          </w:tcPr>
          <w:p w14:paraId="2B4B474D" w14:textId="77777777" w:rsidR="00DF55BC" w:rsidRDefault="009C4AFB">
            <w:pPr>
              <w:rPr>
                <w:sz w:val="22"/>
                <w:szCs w:val="22"/>
              </w:rPr>
            </w:pPr>
            <w:r>
              <w:rPr>
                <w:sz w:val="22"/>
                <w:szCs w:val="22"/>
              </w:rPr>
              <w:t>Nina Elise Grødem</w:t>
            </w:r>
          </w:p>
        </w:tc>
      </w:tr>
    </w:tbl>
    <w:p w14:paraId="1A936682" w14:textId="77777777" w:rsidR="00DF55BC" w:rsidRDefault="00DF55BC"/>
    <w:tbl>
      <w:tblPr>
        <w:tblStyle w:val="a1"/>
        <w:tblW w:w="9930" w:type="dxa"/>
        <w:tblInd w:w="0" w:type="dxa"/>
        <w:tblLayout w:type="fixed"/>
        <w:tblLook w:val="0000" w:firstRow="0" w:lastRow="0" w:firstColumn="0" w:lastColumn="0" w:noHBand="0" w:noVBand="0"/>
      </w:tblPr>
      <w:tblGrid>
        <w:gridCol w:w="3424"/>
        <w:gridCol w:w="3425"/>
        <w:gridCol w:w="3081"/>
      </w:tblGrid>
      <w:tr w:rsidR="00DF55BC" w14:paraId="659316F0" w14:textId="77777777">
        <w:tc>
          <w:tcPr>
            <w:tcW w:w="3424" w:type="dxa"/>
          </w:tcPr>
          <w:p w14:paraId="23D03C7B" w14:textId="77777777" w:rsidR="00DF55BC" w:rsidRDefault="009C4AFB">
            <w:pPr>
              <w:rPr>
                <w:sz w:val="13"/>
                <w:szCs w:val="13"/>
              </w:rPr>
            </w:pPr>
            <w:r>
              <w:rPr>
                <w:sz w:val="13"/>
                <w:szCs w:val="13"/>
              </w:rPr>
              <w:t>REFERANSE     NEG</w:t>
            </w:r>
          </w:p>
        </w:tc>
        <w:tc>
          <w:tcPr>
            <w:tcW w:w="3425" w:type="dxa"/>
          </w:tcPr>
          <w:p w14:paraId="06AD0E75" w14:textId="77777777" w:rsidR="00DF55BC" w:rsidRDefault="009C4AFB">
            <w:pPr>
              <w:rPr>
                <w:sz w:val="13"/>
                <w:szCs w:val="13"/>
              </w:rPr>
            </w:pPr>
            <w:r>
              <w:rPr>
                <w:sz w:val="13"/>
                <w:szCs w:val="13"/>
              </w:rPr>
              <w:t>JOURNALNR</w:t>
            </w:r>
          </w:p>
        </w:tc>
        <w:tc>
          <w:tcPr>
            <w:tcW w:w="3081" w:type="dxa"/>
          </w:tcPr>
          <w:p w14:paraId="381054D4" w14:textId="05D806BC" w:rsidR="00DF55BC" w:rsidRDefault="009C4AFB">
            <w:pPr>
              <w:rPr>
                <w:sz w:val="13"/>
                <w:szCs w:val="13"/>
              </w:rPr>
            </w:pPr>
            <w:r>
              <w:rPr>
                <w:sz w:val="13"/>
                <w:szCs w:val="13"/>
              </w:rPr>
              <w:t xml:space="preserve">DATO    </w:t>
            </w:r>
            <w:r w:rsidR="003C6106">
              <w:rPr>
                <w:sz w:val="13"/>
                <w:szCs w:val="13"/>
              </w:rPr>
              <w:t>1</w:t>
            </w:r>
            <w:r w:rsidR="000804FB">
              <w:rPr>
                <w:sz w:val="13"/>
                <w:szCs w:val="13"/>
              </w:rPr>
              <w:t>9</w:t>
            </w:r>
            <w:r w:rsidR="003C6106">
              <w:rPr>
                <w:sz w:val="13"/>
                <w:szCs w:val="13"/>
              </w:rPr>
              <w:t>.03.25</w:t>
            </w:r>
          </w:p>
        </w:tc>
      </w:tr>
      <w:tr w:rsidR="00DF55BC" w14:paraId="73741CD2" w14:textId="77777777">
        <w:tc>
          <w:tcPr>
            <w:tcW w:w="3424" w:type="dxa"/>
          </w:tcPr>
          <w:p w14:paraId="56E3F1CB" w14:textId="77777777" w:rsidR="00DF55BC" w:rsidRDefault="00DF55BC">
            <w:pPr>
              <w:rPr>
                <w:sz w:val="18"/>
                <w:szCs w:val="18"/>
              </w:rPr>
            </w:pPr>
          </w:p>
        </w:tc>
        <w:tc>
          <w:tcPr>
            <w:tcW w:w="3425" w:type="dxa"/>
          </w:tcPr>
          <w:p w14:paraId="01BFD536" w14:textId="77777777" w:rsidR="00DF55BC" w:rsidRDefault="00DF55BC">
            <w:pPr>
              <w:rPr>
                <w:sz w:val="18"/>
                <w:szCs w:val="18"/>
              </w:rPr>
            </w:pPr>
          </w:p>
        </w:tc>
        <w:tc>
          <w:tcPr>
            <w:tcW w:w="3081" w:type="dxa"/>
          </w:tcPr>
          <w:p w14:paraId="376331A3" w14:textId="77777777" w:rsidR="00DF55BC" w:rsidRDefault="00DF55BC">
            <w:pPr>
              <w:rPr>
                <w:sz w:val="18"/>
                <w:szCs w:val="18"/>
              </w:rPr>
            </w:pPr>
          </w:p>
        </w:tc>
      </w:tr>
    </w:tbl>
    <w:p w14:paraId="488296A1" w14:textId="77777777" w:rsidR="00DF55BC" w:rsidRDefault="00DF55BC"/>
    <w:tbl>
      <w:tblPr>
        <w:tblStyle w:val="a2"/>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938"/>
      </w:tblGrid>
      <w:tr w:rsidR="00DF55BC" w14:paraId="477DC055" w14:textId="77777777">
        <w:trPr>
          <w:tblHeader/>
        </w:trPr>
        <w:tc>
          <w:tcPr>
            <w:tcW w:w="1134" w:type="dxa"/>
            <w:tcBorders>
              <w:top w:val="nil"/>
              <w:left w:val="nil"/>
              <w:bottom w:val="single" w:sz="4" w:space="0" w:color="000000"/>
              <w:right w:val="nil"/>
            </w:tcBorders>
            <w:shd w:val="clear" w:color="auto" w:fill="CCCCCC"/>
            <w:tcMar>
              <w:bottom w:w="68" w:type="dxa"/>
            </w:tcMar>
          </w:tcPr>
          <w:p w14:paraId="54D97F85" w14:textId="77777777" w:rsidR="00DF55BC" w:rsidRDefault="009C4AFB">
            <w:pPr>
              <w:rPr>
                <w:b/>
              </w:rPr>
            </w:pPr>
            <w:r>
              <w:rPr>
                <w:b/>
              </w:rPr>
              <w:t>Sak nr.:</w:t>
            </w:r>
          </w:p>
        </w:tc>
        <w:tc>
          <w:tcPr>
            <w:tcW w:w="7938" w:type="dxa"/>
            <w:tcBorders>
              <w:top w:val="nil"/>
              <w:left w:val="nil"/>
              <w:right w:val="nil"/>
            </w:tcBorders>
            <w:shd w:val="clear" w:color="auto" w:fill="CCCCCC"/>
            <w:tcMar>
              <w:left w:w="68" w:type="dxa"/>
              <w:bottom w:w="68" w:type="dxa"/>
            </w:tcMar>
          </w:tcPr>
          <w:p w14:paraId="36FDF3C6" w14:textId="77777777" w:rsidR="00DF55BC" w:rsidRDefault="00DF55BC"/>
        </w:tc>
      </w:tr>
      <w:tr w:rsidR="00DF55BC" w14:paraId="2FCF90A8" w14:textId="77777777">
        <w:trPr>
          <w:trHeight w:val="528"/>
        </w:trPr>
        <w:tc>
          <w:tcPr>
            <w:tcW w:w="1134" w:type="dxa"/>
            <w:tcBorders>
              <w:top w:val="single" w:sz="4" w:space="0" w:color="000000"/>
              <w:left w:val="nil"/>
            </w:tcBorders>
          </w:tcPr>
          <w:p w14:paraId="3E4848B5" w14:textId="1EB77502" w:rsidR="00DF55BC" w:rsidRDefault="009C4AFB">
            <w:pPr>
              <w:pBdr>
                <w:top w:val="nil"/>
                <w:left w:val="nil"/>
                <w:bottom w:val="nil"/>
                <w:right w:val="nil"/>
                <w:between w:val="nil"/>
              </w:pBdr>
              <w:rPr>
                <w:b/>
                <w:color w:val="000000"/>
              </w:rPr>
            </w:pPr>
            <w:r>
              <w:rPr>
                <w:b/>
                <w:color w:val="000000"/>
              </w:rPr>
              <w:t xml:space="preserve">Sak </w:t>
            </w:r>
            <w:r>
              <w:rPr>
                <w:b/>
              </w:rPr>
              <w:t>01</w:t>
            </w:r>
            <w:r>
              <w:rPr>
                <w:b/>
                <w:color w:val="000000"/>
              </w:rPr>
              <w:t>/2</w:t>
            </w:r>
            <w:r w:rsidR="003C6106">
              <w:rPr>
                <w:b/>
                <w:color w:val="000000"/>
              </w:rPr>
              <w:t>5</w:t>
            </w:r>
          </w:p>
          <w:p w14:paraId="761A1AB2" w14:textId="77777777" w:rsidR="00DF55BC" w:rsidRDefault="009C4AFB">
            <w:pPr>
              <w:pBdr>
                <w:top w:val="nil"/>
                <w:left w:val="nil"/>
                <w:bottom w:val="nil"/>
                <w:right w:val="nil"/>
                <w:between w:val="nil"/>
              </w:pBdr>
              <w:rPr>
                <w:color w:val="000000"/>
              </w:rPr>
            </w:pPr>
            <w:r>
              <w:rPr>
                <w:color w:val="000000"/>
              </w:rPr>
              <w:t xml:space="preserve"> </w:t>
            </w:r>
          </w:p>
        </w:tc>
        <w:tc>
          <w:tcPr>
            <w:tcW w:w="7938" w:type="dxa"/>
            <w:tcBorders>
              <w:right w:val="nil"/>
            </w:tcBorders>
            <w:tcMar>
              <w:left w:w="68" w:type="dxa"/>
            </w:tcMar>
          </w:tcPr>
          <w:p w14:paraId="6A1521EA" w14:textId="77777777" w:rsidR="00876FDE" w:rsidRDefault="009C4AFB" w:rsidP="00876FDE">
            <w:pPr>
              <w:pBdr>
                <w:top w:val="nil"/>
                <w:left w:val="nil"/>
                <w:bottom w:val="nil"/>
                <w:right w:val="nil"/>
                <w:between w:val="nil"/>
              </w:pBdr>
              <w:tabs>
                <w:tab w:val="left" w:pos="6237"/>
              </w:tabs>
              <w:rPr>
                <w:b/>
                <w:color w:val="000000"/>
              </w:rPr>
            </w:pPr>
            <w:r>
              <w:rPr>
                <w:b/>
                <w:color w:val="000000"/>
              </w:rPr>
              <w:t>Godkjenning av innkalling og referat (vedlegg 1 og 2)</w:t>
            </w:r>
          </w:p>
          <w:p w14:paraId="4240176D" w14:textId="47C310C2" w:rsidR="00DF55BC" w:rsidRPr="00876FDE" w:rsidRDefault="00876FDE" w:rsidP="00876FDE">
            <w:pPr>
              <w:pBdr>
                <w:top w:val="nil"/>
                <w:left w:val="nil"/>
                <w:bottom w:val="nil"/>
                <w:right w:val="nil"/>
                <w:between w:val="nil"/>
              </w:pBdr>
              <w:tabs>
                <w:tab w:val="left" w:pos="6237"/>
              </w:tabs>
              <w:rPr>
                <w:b/>
                <w:color w:val="000000"/>
              </w:rPr>
            </w:pPr>
            <w:r>
              <w:rPr>
                <w:b/>
                <w:color w:val="000000"/>
              </w:rPr>
              <w:t>V</w:t>
            </w:r>
            <w:r>
              <w:rPr>
                <w:b/>
              </w:rPr>
              <w:t>edtak: Innkalling og referat godkjennes</w:t>
            </w:r>
          </w:p>
        </w:tc>
      </w:tr>
      <w:tr w:rsidR="00DF55BC" w14:paraId="0B7CDA02" w14:textId="77777777">
        <w:trPr>
          <w:trHeight w:val="610"/>
        </w:trPr>
        <w:tc>
          <w:tcPr>
            <w:tcW w:w="1134" w:type="dxa"/>
            <w:tcBorders>
              <w:top w:val="single" w:sz="4" w:space="0" w:color="000000"/>
              <w:left w:val="nil"/>
              <w:bottom w:val="single" w:sz="4" w:space="0" w:color="000000"/>
            </w:tcBorders>
          </w:tcPr>
          <w:p w14:paraId="48ED51A0" w14:textId="059AD073" w:rsidR="00DF55BC" w:rsidRDefault="009C4AFB">
            <w:pPr>
              <w:pBdr>
                <w:top w:val="nil"/>
                <w:left w:val="nil"/>
                <w:bottom w:val="nil"/>
                <w:right w:val="nil"/>
                <w:between w:val="nil"/>
              </w:pBdr>
              <w:rPr>
                <w:b/>
                <w:color w:val="000000"/>
              </w:rPr>
            </w:pPr>
            <w:r>
              <w:rPr>
                <w:b/>
                <w:color w:val="000000"/>
              </w:rPr>
              <w:t xml:space="preserve">Sak </w:t>
            </w:r>
            <w:r w:rsidR="003C6106">
              <w:rPr>
                <w:b/>
                <w:color w:val="000000"/>
              </w:rPr>
              <w:t>02</w:t>
            </w:r>
            <w:r>
              <w:rPr>
                <w:b/>
                <w:color w:val="000000"/>
              </w:rPr>
              <w:t>/2</w:t>
            </w:r>
            <w:r w:rsidR="003C6106">
              <w:rPr>
                <w:b/>
                <w:color w:val="000000"/>
              </w:rPr>
              <w:t>5</w:t>
            </w:r>
          </w:p>
        </w:tc>
        <w:tc>
          <w:tcPr>
            <w:tcW w:w="7938" w:type="dxa"/>
            <w:tcBorders>
              <w:right w:val="nil"/>
            </w:tcBorders>
            <w:tcMar>
              <w:left w:w="68" w:type="dxa"/>
            </w:tcMar>
          </w:tcPr>
          <w:p w14:paraId="536143BC" w14:textId="0EB13E3D" w:rsidR="00DF55BC" w:rsidRPr="00876FDE" w:rsidRDefault="009C4AFB">
            <w:pPr>
              <w:rPr>
                <w:bCs/>
              </w:rPr>
            </w:pPr>
            <w:r>
              <w:rPr>
                <w:b/>
              </w:rPr>
              <w:t xml:space="preserve">Informasjon fra skolen og SFO: </w:t>
            </w:r>
            <w:r w:rsidR="00876FDE" w:rsidRPr="00876FDE">
              <w:rPr>
                <w:bCs/>
              </w:rPr>
              <w:t>Ved skolen og SFO fortsetter vi utviklingsarbeidet med å øke interaksjonskvaliteten mellom lærer og elev. Våre utvalgte områder baserer seg på brukerundersøkelser, og de dimensjonene vi nå vektlegger er «Lærers sensitivitet», Verdsetting av elevers perspektiv» og «Kvaliteten på tilbakemeldinger». Det er flere atferds-markører innenfor hver av disse dimensjonene som vi arbeider med å ha høy kvalitet på. Observasjoner i klasser og på SFO viser oss at det er mye spennende læringsarbeid ved skolen vår</w:t>
            </w:r>
            <w:r w:rsidR="00876FDE">
              <w:rPr>
                <w:bCs/>
              </w:rPr>
              <w:t>, og vi skal fortsette med å kvalitetssikre arbeidet med elevene. Andre utviklingsarbeid er å legge til rette for mer praktiske og relevante læringsaktiviteter, og å fremme leseferdighetene hos den enkelte elev.</w:t>
            </w:r>
            <w:r w:rsidR="00C04F88">
              <w:rPr>
                <w:bCs/>
              </w:rPr>
              <w:t xml:space="preserve"> På SFO jobber vi med å tilnærme oss skolens læringsarbeid i dialoger og på en lek-orientert måte, og får dette</w:t>
            </w:r>
            <w:r w:rsidR="00876FDE">
              <w:rPr>
                <w:bCs/>
              </w:rPr>
              <w:t xml:space="preserve"> </w:t>
            </w:r>
            <w:r w:rsidR="00C04F88">
              <w:rPr>
                <w:bCs/>
              </w:rPr>
              <w:t>fram i aktivitetsplanene. D</w:t>
            </w:r>
            <w:r w:rsidR="00876FDE">
              <w:rPr>
                <w:bCs/>
              </w:rPr>
              <w:t xml:space="preserve">en kommende tiden vil vi på skolen også ha søkelyset på Stavangers 900 års jubileum, og det henvises </w:t>
            </w:r>
            <w:r w:rsidR="00C04F88">
              <w:rPr>
                <w:bCs/>
              </w:rPr>
              <w:t>ellers</w:t>
            </w:r>
            <w:r w:rsidR="00876FDE">
              <w:rPr>
                <w:bCs/>
              </w:rPr>
              <w:t xml:space="preserve"> til å følge med på læringsplanen for den enkelte klasse for mer detaljer.</w:t>
            </w:r>
          </w:p>
          <w:p w14:paraId="5570709E" w14:textId="76C6A88C" w:rsidR="00DF55BC" w:rsidRPr="001F08B8" w:rsidRDefault="009C4AFB">
            <w:pPr>
              <w:rPr>
                <w:bCs/>
              </w:rPr>
            </w:pPr>
            <w:r>
              <w:rPr>
                <w:b/>
              </w:rPr>
              <w:t xml:space="preserve">Informasjon fra FAU: </w:t>
            </w:r>
            <w:r w:rsidR="001F08B8" w:rsidRPr="001F08B8">
              <w:rPr>
                <w:bCs/>
              </w:rPr>
              <w:t xml:space="preserve">FAU ønsker å søke på «Nabolags-potten», og kan motta midler der som ønskes brukt til et kunstprosjekt for elevene. Dette går ut på at elevene, sammen med en lokal kunstner, </w:t>
            </w:r>
            <w:r w:rsidR="001F08B8">
              <w:rPr>
                <w:bCs/>
              </w:rPr>
              <w:t>kan få male bilder</w:t>
            </w:r>
            <w:r w:rsidR="001F08B8" w:rsidRPr="001F08B8">
              <w:rPr>
                <w:bCs/>
              </w:rPr>
              <w:t xml:space="preserve"> på veggen til skolens uværsskur </w:t>
            </w:r>
            <w:r w:rsidR="000804FB">
              <w:rPr>
                <w:bCs/>
              </w:rPr>
              <w:t>og at dette</w:t>
            </w:r>
            <w:r w:rsidR="00E15FF1">
              <w:rPr>
                <w:bCs/>
              </w:rPr>
              <w:t xml:space="preserve"> </w:t>
            </w:r>
            <w:r w:rsidR="001F08B8">
              <w:rPr>
                <w:bCs/>
              </w:rPr>
              <w:t xml:space="preserve">knyttes </w:t>
            </w:r>
            <w:r w:rsidR="001F08B8" w:rsidRPr="001F08B8">
              <w:rPr>
                <w:bCs/>
              </w:rPr>
              <w:t>til 900-års jubileet</w:t>
            </w:r>
            <w:r w:rsidR="001F08B8">
              <w:rPr>
                <w:bCs/>
              </w:rPr>
              <w:t xml:space="preserve">. Det blir videre informert om at korpset ikke lenger kan ta ansvar for 17.mai-arrangementet på Buøy, og det foreslås at 6.klasse har dette ansvaret framover. </w:t>
            </w:r>
            <w:r w:rsidR="00E15FF1">
              <w:rPr>
                <w:bCs/>
              </w:rPr>
              <w:t>Foreldrene i å</w:t>
            </w:r>
            <w:r w:rsidR="001F08B8">
              <w:rPr>
                <w:bCs/>
              </w:rPr>
              <w:t>rets 6.klasse har sagt ja til å gjennomføre dette i år, noe som blir satt stor pris på</w:t>
            </w:r>
            <w:r w:rsidR="00E15FF1">
              <w:rPr>
                <w:bCs/>
              </w:rPr>
              <w:t>. Skolen anbefaler at elever fra klassen kan gjennomføre en 17.mai-tale under arrangementet. FAU har videre engasjert seg i «So-Me», som er et opplegg initiert av KFU omkring barn og sosiale medier. Det vil bli laget et opplegg til foreldremøtene i august, som FAU arbeider videre med. FAU informerte også om at foreldrene har reagert på situasjoner med uheldig bruk av sukkerholdige varer på skolen/SFO, og dette skal skolen følge opp med felles retningslinjer.</w:t>
            </w:r>
          </w:p>
          <w:p w14:paraId="559D37C3" w14:textId="70A7534E" w:rsidR="00DF55BC" w:rsidRDefault="009C4AFB">
            <w:pPr>
              <w:rPr>
                <w:b/>
              </w:rPr>
            </w:pPr>
            <w:r>
              <w:rPr>
                <w:b/>
              </w:rPr>
              <w:t>Informasjon fra elevrådet:</w:t>
            </w:r>
            <w:r w:rsidR="00876FDE">
              <w:rPr>
                <w:b/>
              </w:rPr>
              <w:t xml:space="preserve"> </w:t>
            </w:r>
            <w:r w:rsidR="00876FDE">
              <w:rPr>
                <w:bCs/>
              </w:rPr>
              <w:t>V</w:t>
            </w:r>
            <w:r w:rsidR="00876FDE" w:rsidRPr="00876FDE">
              <w:rPr>
                <w:bCs/>
              </w:rPr>
              <w:t>i har nylig h</w:t>
            </w:r>
            <w:r w:rsidR="00876FDE">
              <w:rPr>
                <w:bCs/>
              </w:rPr>
              <w:t xml:space="preserve">att møte i elevrådet, og elevene ble spurte om hvilke læringsaktiviteter som engasjerte dem mest. De satt sammen i grupper på </w:t>
            </w:r>
            <w:r w:rsidR="00876FDE">
              <w:rPr>
                <w:bCs/>
              </w:rPr>
              <w:lastRenderedPageBreak/>
              <w:t>tvers av trinn, og to områder som</w:t>
            </w:r>
            <w:r w:rsidR="00DE34E3">
              <w:rPr>
                <w:bCs/>
              </w:rPr>
              <w:t xml:space="preserve"> framkom som positive var: 1) Å finne svar på oppgaver utendørs og 2) Kunst og håndverk, musikk, kroppsøving og mat og helse, som viderefører det som læres i andre fag. Elevrådet melder om god hjelp i klassene, og at det er positivt når elevene hjelper hverandre. Mange elever gleder seg til skolen når de har praktiske fag og skal på tur.</w:t>
            </w:r>
            <w:r w:rsidR="000804FB">
              <w:rPr>
                <w:bCs/>
              </w:rPr>
              <w:t xml:space="preserve"> Referatet fra elevrådet tas opp i klassene for videre drøfting.</w:t>
            </w:r>
          </w:p>
          <w:p w14:paraId="0B710FEE" w14:textId="3BC6F7BF" w:rsidR="00DF55BC" w:rsidRDefault="00876FDE">
            <w:pPr>
              <w:rPr>
                <w:b/>
              </w:rPr>
            </w:pPr>
            <w:r>
              <w:rPr>
                <w:b/>
              </w:rPr>
              <w:t>Vedtak: Til orientering og videre oppfølging</w:t>
            </w:r>
          </w:p>
        </w:tc>
      </w:tr>
      <w:tr w:rsidR="00DF55BC" w14:paraId="71513E48" w14:textId="77777777">
        <w:trPr>
          <w:trHeight w:val="629"/>
        </w:trPr>
        <w:tc>
          <w:tcPr>
            <w:tcW w:w="1134" w:type="dxa"/>
            <w:tcBorders>
              <w:top w:val="single" w:sz="4" w:space="0" w:color="000000"/>
              <w:left w:val="nil"/>
              <w:bottom w:val="single" w:sz="4" w:space="0" w:color="000000"/>
            </w:tcBorders>
          </w:tcPr>
          <w:p w14:paraId="4FC42936" w14:textId="2A7811B2" w:rsidR="00DF55BC" w:rsidRDefault="009C4AFB">
            <w:pPr>
              <w:pBdr>
                <w:top w:val="nil"/>
                <w:left w:val="nil"/>
                <w:bottom w:val="nil"/>
                <w:right w:val="nil"/>
                <w:between w:val="nil"/>
              </w:pBdr>
              <w:rPr>
                <w:b/>
                <w:color w:val="000000"/>
              </w:rPr>
            </w:pPr>
            <w:r>
              <w:rPr>
                <w:b/>
                <w:color w:val="000000"/>
              </w:rPr>
              <w:lastRenderedPageBreak/>
              <w:t xml:space="preserve">Sak </w:t>
            </w:r>
            <w:r w:rsidR="003C6106">
              <w:rPr>
                <w:b/>
                <w:color w:val="000000"/>
              </w:rPr>
              <w:t>03</w:t>
            </w:r>
            <w:r>
              <w:rPr>
                <w:b/>
                <w:color w:val="000000"/>
              </w:rPr>
              <w:t>/2</w:t>
            </w:r>
            <w:r w:rsidR="003C6106">
              <w:rPr>
                <w:b/>
                <w:color w:val="000000"/>
              </w:rPr>
              <w:t>5</w:t>
            </w:r>
          </w:p>
        </w:tc>
        <w:tc>
          <w:tcPr>
            <w:tcW w:w="7938" w:type="dxa"/>
            <w:tcBorders>
              <w:right w:val="nil"/>
            </w:tcBorders>
            <w:tcMar>
              <w:left w:w="68" w:type="dxa"/>
            </w:tcMar>
          </w:tcPr>
          <w:p w14:paraId="336DD615" w14:textId="2EB9E402" w:rsidR="00DF55BC" w:rsidRDefault="009C4AFB">
            <w:pPr>
              <w:rPr>
                <w:b/>
              </w:rPr>
            </w:pPr>
            <w:r>
              <w:rPr>
                <w:b/>
              </w:rPr>
              <w:t>Skolens økonomiske situasjon (vedlegg 3</w:t>
            </w:r>
            <w:r w:rsidR="00544F33">
              <w:rPr>
                <w:b/>
              </w:rPr>
              <w:t xml:space="preserve"> og 4</w:t>
            </w:r>
            <w:r>
              <w:rPr>
                <w:b/>
              </w:rPr>
              <w:t>)</w:t>
            </w:r>
          </w:p>
          <w:p w14:paraId="65A584DA" w14:textId="05EF852D" w:rsidR="00DE34E3" w:rsidRPr="005260FB" w:rsidRDefault="00DE34E3">
            <w:pPr>
              <w:rPr>
                <w:bCs/>
                <w:sz w:val="25"/>
                <w:szCs w:val="25"/>
              </w:rPr>
            </w:pPr>
            <w:r w:rsidRPr="005260FB">
              <w:rPr>
                <w:bCs/>
              </w:rPr>
              <w:t>Ved forrige budsjettår var skolens forbruk på 103,7%, men skolen får ikke med seg rester av overforbruket. I dette budsjettåret legges det opp til noe mindre forbruk, blant annet ved ny organisering</w:t>
            </w:r>
            <w:r w:rsidR="005260FB" w:rsidRPr="005260FB">
              <w:rPr>
                <w:bCs/>
              </w:rPr>
              <w:t xml:space="preserve"> på SFO</w:t>
            </w:r>
            <w:r w:rsidRPr="005260FB">
              <w:rPr>
                <w:bCs/>
              </w:rPr>
              <w:t xml:space="preserve">. Voksentettheten overfor elevene vil </w:t>
            </w:r>
            <w:r w:rsidR="000804FB">
              <w:rPr>
                <w:bCs/>
              </w:rPr>
              <w:t xml:space="preserve">imidlertid </w:t>
            </w:r>
            <w:r w:rsidRPr="005260FB">
              <w:rPr>
                <w:bCs/>
              </w:rPr>
              <w:t>vektlegges</w:t>
            </w:r>
            <w:r w:rsidR="005260FB">
              <w:rPr>
                <w:bCs/>
              </w:rPr>
              <w:t xml:space="preserve"> </w:t>
            </w:r>
            <w:r w:rsidRPr="005260FB">
              <w:rPr>
                <w:bCs/>
              </w:rPr>
              <w:t>å bli opprettholdt</w:t>
            </w:r>
            <w:r w:rsidR="005260FB">
              <w:rPr>
                <w:bCs/>
              </w:rPr>
              <w:t>,</w:t>
            </w:r>
            <w:r w:rsidR="005260FB" w:rsidRPr="005260FB">
              <w:rPr>
                <w:bCs/>
              </w:rPr>
              <w:t xml:space="preserve"> og dette vil spesielt gjelde for de yngste elevene.</w:t>
            </w:r>
          </w:p>
          <w:p w14:paraId="17BAB8D3" w14:textId="318A3189" w:rsidR="00DF55BC" w:rsidRDefault="00DE34E3">
            <w:pPr>
              <w:rPr>
                <w:b/>
              </w:rPr>
            </w:pPr>
            <w:r>
              <w:rPr>
                <w:b/>
              </w:rPr>
              <w:t>Vedtak: Til orientering</w:t>
            </w:r>
          </w:p>
        </w:tc>
      </w:tr>
      <w:tr w:rsidR="00DF55BC" w14:paraId="1D73B2CB" w14:textId="77777777">
        <w:trPr>
          <w:trHeight w:val="635"/>
        </w:trPr>
        <w:tc>
          <w:tcPr>
            <w:tcW w:w="1134" w:type="dxa"/>
            <w:tcBorders>
              <w:top w:val="single" w:sz="4" w:space="0" w:color="000000"/>
              <w:left w:val="nil"/>
              <w:bottom w:val="single" w:sz="4" w:space="0" w:color="000000"/>
            </w:tcBorders>
          </w:tcPr>
          <w:p w14:paraId="54CF42DF" w14:textId="010CB1A4" w:rsidR="00DF55BC" w:rsidRDefault="009C4AFB">
            <w:pPr>
              <w:pBdr>
                <w:top w:val="nil"/>
                <w:left w:val="nil"/>
                <w:bottom w:val="nil"/>
                <w:right w:val="nil"/>
                <w:between w:val="nil"/>
              </w:pBdr>
              <w:rPr>
                <w:b/>
                <w:color w:val="000000"/>
              </w:rPr>
            </w:pPr>
            <w:r>
              <w:rPr>
                <w:b/>
                <w:color w:val="000000"/>
              </w:rPr>
              <w:t xml:space="preserve">Sak </w:t>
            </w:r>
            <w:r w:rsidR="003C6106">
              <w:rPr>
                <w:b/>
                <w:color w:val="000000"/>
              </w:rPr>
              <w:t>04</w:t>
            </w:r>
            <w:r>
              <w:rPr>
                <w:b/>
                <w:color w:val="000000"/>
              </w:rPr>
              <w:t>/24</w:t>
            </w:r>
          </w:p>
        </w:tc>
        <w:tc>
          <w:tcPr>
            <w:tcW w:w="7938" w:type="dxa"/>
            <w:tcBorders>
              <w:right w:val="nil"/>
            </w:tcBorders>
            <w:tcMar>
              <w:left w:w="68" w:type="dxa"/>
            </w:tcMar>
          </w:tcPr>
          <w:p w14:paraId="2E454273" w14:textId="47E9D47E" w:rsidR="00DF55BC" w:rsidRDefault="003C6106">
            <w:pPr>
              <w:rPr>
                <w:b/>
              </w:rPr>
            </w:pPr>
            <w:r>
              <w:rPr>
                <w:b/>
              </w:rPr>
              <w:t>Orientering av skolemiljøet og skolens planarbeid</w:t>
            </w:r>
          </w:p>
          <w:p w14:paraId="7BEF0EBB" w14:textId="78C0093A" w:rsidR="005260FB" w:rsidRPr="005260FB" w:rsidRDefault="005260FB">
            <w:pPr>
              <w:rPr>
                <w:bCs/>
              </w:rPr>
            </w:pPr>
            <w:r w:rsidRPr="005260FB">
              <w:rPr>
                <w:bCs/>
              </w:rPr>
              <w:t xml:space="preserve">Vi har fortsatt svært få aktivitetsplaner og arbeider jevnt og trutt forebyggende med skolemiljøet. </w:t>
            </w:r>
            <w:r w:rsidR="00CB78BD">
              <w:rPr>
                <w:bCs/>
              </w:rPr>
              <w:t xml:space="preserve">Planen vår brukes både til informasjon og til konkret bruk i saker. </w:t>
            </w:r>
            <w:r w:rsidRPr="005260FB">
              <w:rPr>
                <w:bCs/>
              </w:rPr>
              <w:t xml:space="preserve">Det har </w:t>
            </w:r>
            <w:r w:rsidR="00CB78BD">
              <w:rPr>
                <w:bCs/>
              </w:rPr>
              <w:t xml:space="preserve">i det siste </w:t>
            </w:r>
            <w:r w:rsidRPr="005260FB">
              <w:rPr>
                <w:bCs/>
              </w:rPr>
              <w:t xml:space="preserve">vært uheldige hendelser med elever fra annen skole, </w:t>
            </w:r>
            <w:r w:rsidR="000804FB">
              <w:rPr>
                <w:bCs/>
              </w:rPr>
              <w:t>og</w:t>
            </w:r>
            <w:r w:rsidRPr="005260FB">
              <w:rPr>
                <w:bCs/>
              </w:rPr>
              <w:t xml:space="preserve"> </w:t>
            </w:r>
            <w:r w:rsidR="00E15FF1">
              <w:rPr>
                <w:bCs/>
              </w:rPr>
              <w:t>skolene</w:t>
            </w:r>
            <w:r w:rsidRPr="005260FB">
              <w:rPr>
                <w:bCs/>
              </w:rPr>
              <w:t xml:space="preserve"> tar </w:t>
            </w:r>
            <w:r w:rsidR="000804FB">
              <w:rPr>
                <w:bCs/>
              </w:rPr>
              <w:t xml:space="preserve">dette </w:t>
            </w:r>
            <w:r w:rsidRPr="005260FB">
              <w:rPr>
                <w:bCs/>
              </w:rPr>
              <w:t>på høyeste alvor og følger opp. De minste elevene kan ha aktivitetsplaner til mer intern bruk, dersom de trenger ekstra hjelp og trygging.</w:t>
            </w:r>
          </w:p>
          <w:p w14:paraId="3212FCA9" w14:textId="72168F78" w:rsidR="00DF55BC" w:rsidRDefault="005260FB">
            <w:pPr>
              <w:rPr>
                <w:b/>
              </w:rPr>
            </w:pPr>
            <w:r>
              <w:rPr>
                <w:b/>
              </w:rPr>
              <w:t>Vedtak: Til orientering og videre oppfølging</w:t>
            </w:r>
          </w:p>
        </w:tc>
      </w:tr>
      <w:tr w:rsidR="00DF55BC" w14:paraId="5C3A717D" w14:textId="77777777">
        <w:trPr>
          <w:trHeight w:val="635"/>
        </w:trPr>
        <w:tc>
          <w:tcPr>
            <w:tcW w:w="1134" w:type="dxa"/>
            <w:tcBorders>
              <w:top w:val="single" w:sz="4" w:space="0" w:color="000000"/>
              <w:left w:val="nil"/>
              <w:bottom w:val="single" w:sz="4" w:space="0" w:color="000000"/>
            </w:tcBorders>
          </w:tcPr>
          <w:p w14:paraId="7A9ECF96" w14:textId="4F682B6F" w:rsidR="00DF55BC" w:rsidRDefault="009C4AFB">
            <w:pPr>
              <w:pBdr>
                <w:top w:val="nil"/>
                <w:left w:val="nil"/>
                <w:bottom w:val="nil"/>
                <w:right w:val="nil"/>
                <w:between w:val="nil"/>
              </w:pBdr>
              <w:rPr>
                <w:b/>
                <w:color w:val="000000"/>
              </w:rPr>
            </w:pPr>
            <w:r>
              <w:rPr>
                <w:b/>
                <w:color w:val="000000"/>
              </w:rPr>
              <w:t xml:space="preserve">Sak </w:t>
            </w:r>
            <w:r w:rsidR="003C6106">
              <w:rPr>
                <w:b/>
                <w:color w:val="000000"/>
              </w:rPr>
              <w:t>05</w:t>
            </w:r>
            <w:r>
              <w:rPr>
                <w:b/>
                <w:color w:val="000000"/>
              </w:rPr>
              <w:t>/2</w:t>
            </w:r>
            <w:r w:rsidR="003C6106">
              <w:rPr>
                <w:b/>
                <w:color w:val="000000"/>
              </w:rPr>
              <w:t>5</w:t>
            </w:r>
          </w:p>
          <w:p w14:paraId="398EB663" w14:textId="77777777" w:rsidR="00DF55BC" w:rsidRDefault="00DF55BC">
            <w:pPr>
              <w:pBdr>
                <w:top w:val="nil"/>
                <w:left w:val="nil"/>
                <w:bottom w:val="nil"/>
                <w:right w:val="nil"/>
                <w:between w:val="nil"/>
              </w:pBdr>
              <w:rPr>
                <w:b/>
                <w:color w:val="000000"/>
              </w:rPr>
            </w:pPr>
          </w:p>
        </w:tc>
        <w:tc>
          <w:tcPr>
            <w:tcW w:w="7938" w:type="dxa"/>
            <w:tcBorders>
              <w:right w:val="nil"/>
            </w:tcBorders>
            <w:tcMar>
              <w:left w:w="68" w:type="dxa"/>
            </w:tcMar>
          </w:tcPr>
          <w:p w14:paraId="65F392F7" w14:textId="77777777" w:rsidR="00DF55BC" w:rsidRDefault="003C6106">
            <w:pPr>
              <w:rPr>
                <w:b/>
              </w:rPr>
            </w:pPr>
            <w:r>
              <w:rPr>
                <w:b/>
              </w:rPr>
              <w:t>Eventuelt</w:t>
            </w:r>
          </w:p>
          <w:p w14:paraId="63BE5691" w14:textId="0A2A5948" w:rsidR="00E15FF1" w:rsidRPr="00E15FF1" w:rsidRDefault="00E15FF1">
            <w:pPr>
              <w:rPr>
                <w:bCs/>
              </w:rPr>
            </w:pPr>
            <w:r w:rsidRPr="00E15FF1">
              <w:rPr>
                <w:bCs/>
              </w:rPr>
              <w:t xml:space="preserve">7. klasse ønsker å dra på tur til Kongeparken som en avslutningsmarkering, og </w:t>
            </w:r>
            <w:r>
              <w:rPr>
                <w:bCs/>
              </w:rPr>
              <w:t xml:space="preserve">kan </w:t>
            </w:r>
            <w:r w:rsidRPr="00E15FF1">
              <w:rPr>
                <w:bCs/>
              </w:rPr>
              <w:t xml:space="preserve">bruke midler de har fått av FAU til å dekke turen. Det blir </w:t>
            </w:r>
            <w:r w:rsidR="000804FB">
              <w:rPr>
                <w:bCs/>
              </w:rPr>
              <w:t xml:space="preserve">snarest </w:t>
            </w:r>
            <w:r w:rsidRPr="00E15FF1">
              <w:rPr>
                <w:bCs/>
              </w:rPr>
              <w:t xml:space="preserve">gjort bestilling </w:t>
            </w:r>
            <w:r>
              <w:rPr>
                <w:bCs/>
              </w:rPr>
              <w:t>etter</w:t>
            </w:r>
            <w:r w:rsidRPr="00E15FF1">
              <w:rPr>
                <w:bCs/>
              </w:rPr>
              <w:t xml:space="preserve"> avtalt tidspunkt. Det foreslås </w:t>
            </w:r>
            <w:r>
              <w:rPr>
                <w:bCs/>
              </w:rPr>
              <w:t xml:space="preserve">også </w:t>
            </w:r>
            <w:r w:rsidRPr="00E15FF1">
              <w:rPr>
                <w:bCs/>
              </w:rPr>
              <w:t xml:space="preserve">at </w:t>
            </w:r>
            <w:r w:rsidR="000804FB">
              <w:rPr>
                <w:bCs/>
              </w:rPr>
              <w:t xml:space="preserve">den tradisjonelle </w:t>
            </w:r>
            <w:r w:rsidRPr="00E15FF1">
              <w:rPr>
                <w:bCs/>
              </w:rPr>
              <w:t>avslutningen for klassen sees i sammenheng med sommerfesten, og skolen diskuterer dette videre for å finne en god løsning.</w:t>
            </w:r>
          </w:p>
          <w:p w14:paraId="66D032D1" w14:textId="452E552E" w:rsidR="003C6106" w:rsidRDefault="00FE0396">
            <w:pPr>
              <w:rPr>
                <w:b/>
              </w:rPr>
            </w:pPr>
            <w:r>
              <w:rPr>
                <w:b/>
              </w:rPr>
              <w:t>V</w:t>
            </w:r>
            <w:r w:rsidR="003C6106">
              <w:rPr>
                <w:b/>
              </w:rPr>
              <w:t>edtak: Til orientering og videre oppfølging</w:t>
            </w:r>
          </w:p>
        </w:tc>
      </w:tr>
    </w:tbl>
    <w:p w14:paraId="53A01D48" w14:textId="77777777" w:rsidR="00DF55BC" w:rsidRDefault="00DF55BC">
      <w:pPr>
        <w:pBdr>
          <w:top w:val="nil"/>
          <w:left w:val="nil"/>
          <w:bottom w:val="nil"/>
          <w:right w:val="nil"/>
          <w:between w:val="nil"/>
        </w:pBdr>
        <w:spacing w:after="120"/>
        <w:rPr>
          <w:b/>
          <w:color w:val="000000"/>
        </w:rPr>
      </w:pPr>
    </w:p>
    <w:sectPr w:rsidR="00DF55BC">
      <w:headerReference w:type="default" r:id="rId9"/>
      <w:footerReference w:type="default" r:id="rId10"/>
      <w:headerReference w:type="first" r:id="rId11"/>
      <w:footerReference w:type="first" r:id="rId12"/>
      <w:pgSz w:w="11906" w:h="16838"/>
      <w:pgMar w:top="907" w:right="1247" w:bottom="851" w:left="158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1E04" w14:textId="77777777" w:rsidR="009455F9" w:rsidRDefault="009455F9">
      <w:r>
        <w:separator/>
      </w:r>
    </w:p>
  </w:endnote>
  <w:endnote w:type="continuationSeparator" w:id="0">
    <w:p w14:paraId="2E3C81DE" w14:textId="77777777" w:rsidR="009455F9" w:rsidRDefault="0094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A1D0" w14:textId="17D23766" w:rsidR="00DF55BC" w:rsidRDefault="009C4AFB">
    <w:pPr>
      <w:keepLines/>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E34E3">
      <w:rPr>
        <w:noProof/>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sidR="00DE34E3">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4FB3" w14:textId="77777777" w:rsidR="00DF55BC" w:rsidRDefault="00DF55BC">
    <w:pPr>
      <w:keepLines/>
      <w:pBdr>
        <w:top w:val="nil"/>
        <w:left w:val="nil"/>
        <w:bottom w:val="nil"/>
        <w:right w:val="nil"/>
        <w:between w:val="nil"/>
      </w:pBdr>
      <w:tabs>
        <w:tab w:val="center" w:pos="4320"/>
        <w:tab w:val="right" w:pos="8640"/>
        <w:tab w:val="left" w:pos="7088"/>
        <w:tab w:val="right" w:pos="9072"/>
      </w:tabs>
      <w:ind w:left="6067"/>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A76F2" w14:textId="77777777" w:rsidR="009455F9" w:rsidRDefault="009455F9">
      <w:r>
        <w:separator/>
      </w:r>
    </w:p>
  </w:footnote>
  <w:footnote w:type="continuationSeparator" w:id="0">
    <w:p w14:paraId="03F0C060" w14:textId="77777777" w:rsidR="009455F9" w:rsidRDefault="0094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8E8B" w14:textId="77777777" w:rsidR="00DF55BC" w:rsidRDefault="00DF55BC">
    <w:pPr>
      <w:keepLines/>
      <w:pBdr>
        <w:top w:val="nil"/>
        <w:left w:val="nil"/>
        <w:bottom w:val="nil"/>
        <w:right w:val="nil"/>
        <w:between w:val="nil"/>
      </w:pBdr>
      <w:tabs>
        <w:tab w:val="center" w:pos="4320"/>
        <w:tab w:val="right" w:pos="8640"/>
      </w:tabs>
      <w:rPr>
        <w:color w:val="000000"/>
        <w:sz w:val="22"/>
        <w:szCs w:val="22"/>
      </w:rPr>
    </w:pPr>
  </w:p>
  <w:p w14:paraId="53DE4E26" w14:textId="77777777" w:rsidR="00DF55BC" w:rsidRDefault="00DF55BC">
    <w:pPr>
      <w:keepLines/>
      <w:pBdr>
        <w:top w:val="nil"/>
        <w:left w:val="nil"/>
        <w:bottom w:val="nil"/>
        <w:right w:val="nil"/>
        <w:between w:val="nil"/>
      </w:pBdr>
      <w:tabs>
        <w:tab w:val="center" w:pos="4320"/>
        <w:tab w:val="right" w:pos="8640"/>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88A7" w14:textId="77777777" w:rsidR="00DF55BC" w:rsidRDefault="009C4AFB">
    <w:pPr>
      <w:keepLines/>
      <w:pBdr>
        <w:top w:val="nil"/>
        <w:left w:val="nil"/>
        <w:bottom w:val="nil"/>
        <w:right w:val="nil"/>
        <w:between w:val="nil"/>
      </w:pBdr>
      <w:tabs>
        <w:tab w:val="center" w:pos="4320"/>
        <w:tab w:val="right" w:pos="8640"/>
      </w:tabs>
      <w:rPr>
        <w:smallCaps/>
        <w:color w:val="000000"/>
        <w:sz w:val="22"/>
        <w:szCs w:val="22"/>
      </w:rPr>
    </w:pPr>
    <w:r>
      <w:rPr>
        <w:smallCaps/>
        <w:color w:val="000000"/>
        <w:sz w:val="22"/>
        <w:szCs w:val="22"/>
      </w:rPr>
      <w:t xml:space="preserve"> </w:t>
    </w:r>
  </w:p>
  <w:p w14:paraId="1E5A4C1B" w14:textId="77777777" w:rsidR="00DF55BC" w:rsidRDefault="00DF55BC">
    <w:pPr>
      <w:keepLines/>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BC"/>
    <w:rsid w:val="000804FB"/>
    <w:rsid w:val="001F08B8"/>
    <w:rsid w:val="003C6106"/>
    <w:rsid w:val="00423A49"/>
    <w:rsid w:val="004A1C1C"/>
    <w:rsid w:val="005260FB"/>
    <w:rsid w:val="00544F33"/>
    <w:rsid w:val="00600ECB"/>
    <w:rsid w:val="00711A80"/>
    <w:rsid w:val="0079555F"/>
    <w:rsid w:val="008608C2"/>
    <w:rsid w:val="00876FDE"/>
    <w:rsid w:val="00935D6B"/>
    <w:rsid w:val="009455F9"/>
    <w:rsid w:val="009C4AFB"/>
    <w:rsid w:val="009E20D1"/>
    <w:rsid w:val="00C04F88"/>
    <w:rsid w:val="00CB78BD"/>
    <w:rsid w:val="00CD068A"/>
    <w:rsid w:val="00DE34E3"/>
    <w:rsid w:val="00DF55BC"/>
    <w:rsid w:val="00E15FF1"/>
    <w:rsid w:val="00F768C3"/>
    <w:rsid w:val="00FE0396"/>
    <w:rsid w:val="00FE68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A44D"/>
  <w15:docId w15:val="{063C0357-73B5-4924-B5E3-C7E6FB39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3"/>
        <w:szCs w:val="23"/>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outlineLvl w:val="0"/>
    </w:pPr>
    <w:rPr>
      <w:sz w:val="30"/>
      <w:szCs w:val="30"/>
    </w:rPr>
  </w:style>
  <w:style w:type="paragraph" w:styleId="Overskrift2">
    <w:name w:val="heading 2"/>
    <w:basedOn w:val="Normal"/>
    <w:next w:val="Normal"/>
    <w:uiPriority w:val="9"/>
    <w:semiHidden/>
    <w:unhideWhenUsed/>
    <w:qFormat/>
    <w:pPr>
      <w:keepNext/>
      <w:outlineLvl w:val="1"/>
    </w:pPr>
    <w:rPr>
      <w:b/>
      <w:sz w:val="24"/>
      <w:szCs w:val="24"/>
    </w:rPr>
  </w:style>
  <w:style w:type="paragraph" w:styleId="Overskrift3">
    <w:name w:val="heading 3"/>
    <w:basedOn w:val="Normal"/>
    <w:next w:val="Normal"/>
    <w:uiPriority w:val="9"/>
    <w:semiHidden/>
    <w:unhideWhenUsed/>
    <w:qFormat/>
    <w:pPr>
      <w:keepNext/>
      <w:outlineLvl w:val="2"/>
    </w:pPr>
    <w:rPr>
      <w:sz w:val="24"/>
      <w:szCs w:val="24"/>
    </w:rPr>
  </w:style>
  <w:style w:type="paragraph" w:styleId="Overskrift4">
    <w:name w:val="heading 4"/>
    <w:basedOn w:val="Normal"/>
    <w:next w:val="Normal"/>
    <w:uiPriority w:val="9"/>
    <w:semiHidden/>
    <w:unhideWhenUsed/>
    <w:qFormat/>
    <w:pPr>
      <w:keepNext/>
      <w:outlineLvl w:val="3"/>
    </w:pPr>
  </w:style>
  <w:style w:type="paragraph" w:styleId="Overskrift5">
    <w:name w:val="heading 5"/>
    <w:basedOn w:val="Normal"/>
    <w:next w:val="Normal"/>
    <w:uiPriority w:val="9"/>
    <w:semiHidden/>
    <w:unhideWhenUsed/>
    <w:qFormat/>
    <w:pPr>
      <w:keepNext/>
      <w:outlineLvl w:val="4"/>
    </w:pPr>
    <w:rPr>
      <w:b/>
    </w:rPr>
  </w:style>
  <w:style w:type="paragraph" w:styleId="Overskrift6">
    <w:name w:val="heading 6"/>
    <w:basedOn w:val="Normal"/>
    <w:next w:val="Normal"/>
    <w:uiPriority w:val="9"/>
    <w:semiHidden/>
    <w:unhideWhenUsed/>
    <w:qFormat/>
    <w:pPr>
      <w:keepNext/>
      <w:outlineLvl w:val="5"/>
    </w:pPr>
    <w:rPr>
      <w:sz w:val="72"/>
      <w:szCs w:val="7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avanger.kommune.n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oy.skole@stavanger.kommune.no"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4198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Elise Grødem</dc:creator>
  <cp:lastModifiedBy>Inger Lise Egeland</cp:lastModifiedBy>
  <cp:revision>2</cp:revision>
  <cp:lastPrinted>2025-03-18T16:50:00Z</cp:lastPrinted>
  <dcterms:created xsi:type="dcterms:W3CDTF">2025-03-19T08:36:00Z</dcterms:created>
  <dcterms:modified xsi:type="dcterms:W3CDTF">2025-03-19T08:36:00Z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1391308122</vt:lpwstr>
  </property>
</Properties>
</file>